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宿松县妇联2021年部门预算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2021年1月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目 录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第一部分 部门概况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1.主要职责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2.部门预算构成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3.2021年度主要工作任务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第二部分 2021年部门预算表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1.宿松县妇联2021年收支总表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2.宿松县妇联2021年收入总表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3.宿松县妇联2021年支出总表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4.宿松县妇联2021年财政拨款收支总表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5.宿松县妇联2021年一般公共预算支出表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6.宿松县妇联2021年一般公共预算基本支出表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7.宿松县妇联2021年政府性基金预算支出表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8.宿松县妇联2021年国有资本经营预算支出表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9.宿松县妇联2021年项目支出表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10.宿松县妇联2021年政府采购支出表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11.宿松县妇联2021年政府购买服务支出表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第三部分 2021年部门预算情况说明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1.关于2021年收支总表的说明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2.关于2021年收入总表的说明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3.关于2021年支出总表的说明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4.关于2021年财政拨款收支总表的说明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5.关于2021年一般公共预算支出表的说明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6.关于2021年一般公共预算基本支出表的说明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7.关于2021年政府性基金预算支出表的说明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8.关于2021年国有资本经营预算支出表的说明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9.关于2021年项目支出表的说明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10.关于2021年政府采购支出表的说明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11.关于2021年政府购买服务支出表的说明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12.其他重要事项情况说明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第四部分 名词解释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50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第一部分 部门概况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</w:pPr>
      <w:r>
        <w:rPr>
          <w:rFonts w:hint="eastAsia" w:ascii="黑体" w:hAnsi="黑体" w:eastAsia="黑体"/>
          <w:bCs/>
          <w:sz w:val="32"/>
          <w:szCs w:val="32"/>
        </w:rPr>
        <w:t>一、主要职责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（一）团结、动员妇女投身改革，参与经济建设，促进社会发展。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（二）教育、引导广大妇女，增强自尊、自信、自立、自强精神，全面提高素质，促进妇女人才成长。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（三）代表妇女参加社会协商对话，参与民主管理、民主监督，参与有关妇女儿童法律、法规、条例的制订，维护妇女儿童合法权益。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（四）为妇女儿童服务。加强与社会各界的联系，推动社会各界为妇女儿童办实事、办好事。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</w:pPr>
      <w:r>
        <w:rPr>
          <w:rFonts w:hint="eastAsia" w:ascii="黑体" w:hAnsi="黑体" w:eastAsia="黑体"/>
          <w:bCs/>
          <w:sz w:val="32"/>
          <w:szCs w:val="32"/>
        </w:rPr>
        <w:t>二、部门预算构成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rPr>
          <w:rFonts w:ascii="仿宋_GB2312" w:hAnsi="仿宋" w:eastAsia="仿宋_GB2312" w:cs="仿宋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从预算单位构成看，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宿松县妇联</w:t>
      </w:r>
      <w:r>
        <w:rPr>
          <w:rFonts w:hint="eastAsia" w:ascii="仿宋_GB2312" w:hAnsi="仿宋" w:eastAsia="仿宋_GB2312"/>
          <w:sz w:val="32"/>
          <w:szCs w:val="32"/>
        </w:rPr>
        <w:t>2021年度部门预算仅包括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宿松县妇联</w:t>
      </w:r>
      <w:r>
        <w:rPr>
          <w:rFonts w:hint="eastAsia" w:ascii="仿宋_GB2312" w:hAnsi="仿宋" w:eastAsia="仿宋_GB2312"/>
          <w:sz w:val="32"/>
          <w:szCs w:val="32"/>
        </w:rPr>
        <w:t>本级预算，无其他下属单位预算。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三、2021年度主要工作任务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（一）进一步增强新时代妇联组织“三性”，发挥好党联系妇女群众的桥梁和纽带作用。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（二）不断创新妇女儿童维权方式。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（三）加强妇联干部队伍建设。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（四）打造“巾帼志愿服务”品牌。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（五）实施巾帼创业就业行动。</w:t>
      </w:r>
    </w:p>
    <w:p>
      <w:pPr>
        <w:pStyle w:val="5"/>
        <w:adjustRightInd w:val="0"/>
        <w:snapToGrid w:val="0"/>
        <w:spacing w:before="0" w:beforeAutospacing="0" w:after="0" w:afterAutospacing="0" w:line="240" w:lineRule="atLeast"/>
        <w:ind w:firstLine="627" w:firstLineChars="196"/>
        <w:jc w:val="both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（六）继续实施“乡村振兴巾帼行动”。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705" w:firstLineChars="196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第二部分 2021年部门预算表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kern w:val="0"/>
          <w:sz w:val="20"/>
          <w:szCs w:val="20"/>
        </w:rPr>
        <w:t>部门公开表1</w:t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宿松县妇联2021年收支总表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6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998"/>
        <w:gridCol w:w="3184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          收            入             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支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支出功能分类科目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107.09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其中：上级转移支付收入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其中：上级转移支付收入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三、国有资本经营预算拨款收入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其中：上级转移支付收入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九、卫生健康支出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四、财政专户管理资金收入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五、单位资金收入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其中：事业收入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事业单位经营收入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十四、资源勘探工业信息等支出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上级补助收入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附属单位上缴收入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其他收入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十八、自然资源海洋气象等支出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二十一、灾害防治及应急管理支出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二十二、预备费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二十四、转移性支出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二十五、债务还本支出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二十六、债务付息支出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二十七、债务发行费用支出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  年  收  入  小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  年  支  出  小  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107.09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上年结转结余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年终结转结余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 入   总 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107.09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　出  总　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107.09　</w:t>
            </w:r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部门公开表2</w:t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宿松县妇联2021年收入总表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单位：万元</w:t>
      </w:r>
    </w:p>
    <w:tbl>
      <w:tblPr>
        <w:tblStyle w:val="6"/>
        <w:tblW w:w="14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50"/>
        <w:gridCol w:w="851"/>
        <w:gridCol w:w="850"/>
        <w:gridCol w:w="709"/>
        <w:gridCol w:w="709"/>
        <w:gridCol w:w="708"/>
        <w:gridCol w:w="426"/>
        <w:gridCol w:w="54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5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4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上年结转结余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事业     收入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   收入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宿松县妇联部门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宿松县妇联机关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部门公开表3</w:t>
      </w:r>
    </w:p>
    <w:p>
      <w:pPr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宿松县妇联2021年支出总表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单位：万元</w:t>
      </w:r>
    </w:p>
    <w:tbl>
      <w:tblPr>
        <w:tblStyle w:val="6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84"/>
        <w:gridCol w:w="992"/>
        <w:gridCol w:w="993"/>
        <w:gridCol w:w="708"/>
        <w:gridCol w:w="1134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事业单位经营支出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上缴上级支出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档案事务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2012601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群众团体事务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104.15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104.15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2012901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104.15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104.15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合   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部门公开表4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宿松县妇联2021年财政拨款收支总表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6"/>
        <w:tblW w:w="8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059"/>
        <w:gridCol w:w="3468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收      入</w:t>
            </w:r>
          </w:p>
        </w:tc>
        <w:tc>
          <w:tcPr>
            <w:tcW w:w="4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（七）文化旅游体育与传媒支出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（八）社会保障和就业支出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（九）卫生健康支出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（十）节能环保支出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（十一）城乡社区支出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（十二）农林水支出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（十三）交通运输支出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（十四）资源勘探工业信息等支出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（十五）商业服务业等支出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（十六）金融支出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（十七）援助其他地区支出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（十八）自然资源海洋气象等支出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（十九）住房保障支出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（二十）粮油物资储备支出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（二十一）灾害防治及应急管理支出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（二十二）预备费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（二十三）其他支出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（二十四）转移性支出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（二十五）债务还本支出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（二十六）债务付息支出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（二十七）债务发行费用支出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二、年终结转结余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    入    总    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    出    总    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107.09　</w:t>
            </w:r>
          </w:p>
        </w:tc>
      </w:tr>
    </w:tbl>
    <w:p>
      <w:pPr>
        <w:ind w:firstLine="6300" w:firstLineChars="3150"/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ind w:firstLine="6900" w:firstLineChars="345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部门公开表5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宿松县妇联2021年一般公共预算支出表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6"/>
        <w:tblW w:w="908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225"/>
        <w:gridCol w:w="1124"/>
        <w:gridCol w:w="1125"/>
        <w:gridCol w:w="1125"/>
        <w:gridCol w:w="112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37.11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69.98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20126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档案事务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2012601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行政运行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20129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群众团体事务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104.15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104.15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37.11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67.04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2012901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行政运行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104.15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104.15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37.11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67.04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合      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107.09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37.11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69.98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ind w:left="903" w:leftChars="430" w:firstLine="5400" w:firstLineChars="2700"/>
        <w:rPr>
          <w:rFonts w:ascii="宋体" w:hAnsi="宋体" w:cs="宋体"/>
          <w:kern w:val="0"/>
          <w:sz w:val="20"/>
          <w:szCs w:val="20"/>
        </w:rPr>
      </w:pPr>
    </w:p>
    <w:p>
      <w:pPr>
        <w:ind w:left="903" w:leftChars="430" w:firstLine="5400" w:firstLineChars="2700"/>
        <w:jc w:val="center"/>
        <w:rPr>
          <w:rFonts w:ascii="宋体" w:hAnsi="宋体" w:cs="宋体"/>
          <w:kern w:val="0"/>
          <w:sz w:val="20"/>
          <w:szCs w:val="20"/>
        </w:rPr>
      </w:pPr>
    </w:p>
    <w:p>
      <w:pPr>
        <w:ind w:left="903" w:leftChars="430" w:firstLine="5400" w:firstLineChars="2700"/>
        <w:jc w:val="center"/>
        <w:rPr>
          <w:rFonts w:ascii="宋体" w:hAnsi="宋体" w:cs="宋体"/>
          <w:kern w:val="0"/>
          <w:sz w:val="20"/>
          <w:szCs w:val="20"/>
        </w:rPr>
      </w:pPr>
    </w:p>
    <w:p>
      <w:pPr>
        <w:ind w:left="903" w:leftChars="430" w:firstLine="5400" w:firstLineChars="2700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部门公开表6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宿松县妇联2021年一般公共预算基本支出表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6"/>
        <w:tblW w:w="8961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974"/>
        <w:gridCol w:w="1704"/>
        <w:gridCol w:w="1559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部门预算支出经济分类科目</w:t>
            </w:r>
          </w:p>
        </w:tc>
        <w:tc>
          <w:tcPr>
            <w:tcW w:w="4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本年一般公共预算基本支出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人员经费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工资福利支出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37.11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30101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基本工资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津贴补贴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8.58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30103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奖金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1.45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30108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机关事业等单位基本养老保险缴费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4.38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4.38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30110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城镇职工基本医疗保险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1.78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30112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其他社会保险缴费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0.30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住房公资金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3.28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30201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办公费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30202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印刷费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30206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电费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30207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邮电费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30211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差旅费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30217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公务接待费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30228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工会经费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30239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其他交通费用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2.94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30299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其他商品和服务支出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  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107.09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37.11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69.98</w:t>
            </w:r>
          </w:p>
        </w:tc>
      </w:tr>
    </w:tbl>
    <w:p/>
    <w:p/>
    <w:p/>
    <w:p/>
    <w:p/>
    <w:p/>
    <w:p/>
    <w:p/>
    <w:p/>
    <w:p/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</w:p>
    <w:p>
      <w:pPr>
        <w:ind w:firstLine="6800" w:firstLineChars="3400"/>
        <w:rPr>
          <w:rFonts w:hint="eastAsia" w:ascii="宋体" w:hAnsi="宋体" w:cs="宋体"/>
          <w:kern w:val="0"/>
          <w:sz w:val="20"/>
          <w:szCs w:val="20"/>
        </w:rPr>
      </w:pPr>
    </w:p>
    <w:p>
      <w:pPr>
        <w:ind w:firstLine="6800" w:firstLineChars="3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部门公开表7</w:t>
      </w:r>
    </w:p>
    <w:p>
      <w:pPr>
        <w:widowControl/>
        <w:ind w:firstLine="140" w:firstLineChars="50"/>
        <w:jc w:val="center"/>
        <w:rPr>
          <w:rFonts w:ascii="华文中宋" w:hAnsi="华文中宋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宿松县妇联2021年政府性基金预算支出表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6"/>
        <w:tblW w:w="882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34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本年政府性基金预算支出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  合      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注：宿松县妇联没有政府性基金预算拨款收入，也没有政府性基金预算拨款安排的支出，故本表无数据。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5"/>
        <w:adjustRightInd w:val="0"/>
        <w:snapToGrid w:val="0"/>
        <w:spacing w:before="0" w:beforeAutospacing="0" w:after="0" w:afterAutospacing="0" w:line="360" w:lineRule="auto"/>
        <w:ind w:right="100"/>
        <w:jc w:val="right"/>
        <w:rPr>
          <w:rFonts w:ascii="黑体" w:hAnsi="黑体" w:eastAsia="黑体"/>
          <w:bCs/>
          <w:sz w:val="36"/>
          <w:szCs w:val="36"/>
        </w:rPr>
      </w:pPr>
      <w:r>
        <w:rPr>
          <w:rFonts w:hint="eastAsia"/>
          <w:sz w:val="20"/>
          <w:szCs w:val="20"/>
        </w:rPr>
        <w:t xml:space="preserve">  部门公开表8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18"/>
          <w:szCs w:val="18"/>
        </w:rPr>
      </w:pPr>
    </w:p>
    <w:tbl>
      <w:tblPr>
        <w:tblStyle w:val="6"/>
        <w:tblW w:w="91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97"/>
        <w:gridCol w:w="3780"/>
        <w:gridCol w:w="236"/>
        <w:gridCol w:w="1024"/>
        <w:gridCol w:w="1260"/>
        <w:gridCol w:w="361"/>
        <w:gridCol w:w="1079"/>
        <w:gridCol w:w="180"/>
        <w:gridCol w:w="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10" w:hRule="atLeast"/>
          <w:jc w:val="center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宿松县妇联2021年国有资本经营预算支出表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4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功能分类科目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国有资本经营预算拨款支出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  <w:jc w:val="center"/>
        </w:trPr>
        <w:tc>
          <w:tcPr>
            <w:tcW w:w="4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795" w:hRule="atLeast"/>
          <w:jc w:val="center"/>
        </w:trPr>
        <w:tc>
          <w:tcPr>
            <w:tcW w:w="910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注：宿松县妇联没有国有资本经营预算拨款收入，也没有国有资本经营预算拨款安排的支出，故本表无数据。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ind w:right="400"/>
        <w:rPr>
          <w:sz w:val="20"/>
          <w:szCs w:val="20"/>
        </w:rPr>
      </w:pPr>
    </w:p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9500" w:firstLineChars="475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t xml:space="preserve">  部门公开表9</w:t>
      </w:r>
    </w:p>
    <w:p>
      <w:pPr>
        <w:widowControl/>
        <w:ind w:firstLine="4374" w:firstLineChars="1367"/>
        <w:rPr>
          <w:rFonts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宿松县</w:t>
      </w: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妇联2021年项目支出表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单位：万元</w:t>
      </w:r>
    </w:p>
    <w:tbl>
      <w:tblPr>
        <w:tblStyle w:val="6"/>
        <w:tblW w:w="1414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40"/>
        <w:gridCol w:w="1360"/>
        <w:gridCol w:w="920"/>
        <w:gridCol w:w="1220"/>
        <w:gridCol w:w="1220"/>
        <w:gridCol w:w="1220"/>
        <w:gridCol w:w="1220"/>
        <w:gridCol w:w="1220"/>
        <w:gridCol w:w="1220"/>
        <w:gridCol w:w="102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本年财政拨款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财政拨款结转结余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财政专户管理资金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 宿松县妇联没有使用一般公共预算拨款、政府性基金预算拨款、国有资本经营预算拨款、财政专户管理资金和单位资金安排的项目支出，故本表无数据。</w:t>
      </w:r>
    </w:p>
    <w:p>
      <w:pPr>
        <w:rPr>
          <w:rFonts w:ascii="宋体" w:hAnsi="宋体" w:cs="宋体"/>
          <w:color w:val="000000"/>
          <w:kern w:val="0"/>
          <w:sz w:val="22"/>
        </w:rPr>
      </w:pPr>
    </w:p>
    <w:p>
      <w:pPr>
        <w:rPr>
          <w:rFonts w:ascii="宋体" w:hAnsi="宋体" w:cs="宋体"/>
          <w:color w:val="000000"/>
          <w:kern w:val="0"/>
          <w:sz w:val="22"/>
        </w:rPr>
      </w:pPr>
    </w:p>
    <w:p>
      <w:pPr>
        <w:rPr>
          <w:rFonts w:ascii="宋体" w:hAnsi="宋体" w:cs="宋体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5"/>
        <w:wordWrap w:val="0"/>
        <w:adjustRightInd w:val="0"/>
        <w:snapToGrid w:val="0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部门公开表10</w:t>
      </w:r>
    </w:p>
    <w:tbl>
      <w:tblPr>
        <w:tblStyle w:val="6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"/>
        <w:gridCol w:w="1153"/>
        <w:gridCol w:w="1840"/>
        <w:gridCol w:w="820"/>
        <w:gridCol w:w="831"/>
        <w:gridCol w:w="1109"/>
        <w:gridCol w:w="1080"/>
        <w:gridCol w:w="1040"/>
        <w:gridCol w:w="1024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25" w:hRule="atLeas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>宿松县妇联2021年政府采购支出表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855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政府采购项目名称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3" w:type="dxa"/>
          <w:trHeight w:val="5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</w:rPr>
        <w:t>注：宿松县妇联没有使用一般公共预算拨款、政府性基金预算拨款、国有资本经营预算拨款、财政专户管理资金和单位资金安排的政府采购支出，故本表无数据。</w:t>
      </w:r>
    </w:p>
    <w:p>
      <w:pPr>
        <w:adjustRightInd w:val="0"/>
        <w:snapToGrid w:val="0"/>
      </w:pPr>
    </w:p>
    <w:p/>
    <w:p/>
    <w:p/>
    <w:p/>
    <w:p/>
    <w:p/>
    <w:p/>
    <w:p/>
    <w:p/>
    <w:p/>
    <w:p/>
    <w:p/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right="8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hint="eastAsia"/>
          <w:sz w:val="20"/>
          <w:szCs w:val="20"/>
        </w:rPr>
        <w:t>部门公开表11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宿松县妇联2021年部门政府购买服务支出表</w:t>
      </w:r>
    </w:p>
    <w:p/>
    <w:p>
      <w:pPr>
        <w:pStyle w:val="5"/>
        <w:wordWrap w:val="0"/>
        <w:adjustRightInd w:val="0"/>
        <w:snapToGrid w:val="0"/>
        <w:spacing w:before="0" w:beforeAutospacing="0" w:after="0" w:afterAutospacing="0" w:line="360" w:lineRule="auto"/>
        <w:ind w:right="800" w:firstLine="11600" w:firstLineChars="5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单位：万元</w:t>
      </w:r>
    </w:p>
    <w:tbl>
      <w:tblPr>
        <w:tblStyle w:val="6"/>
        <w:tblW w:w="11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80"/>
        <w:gridCol w:w="1160"/>
        <w:gridCol w:w="1160"/>
        <w:gridCol w:w="1420"/>
        <w:gridCol w:w="1000"/>
        <w:gridCol w:w="880"/>
        <w:gridCol w:w="880"/>
        <w:gridCol w:w="880"/>
        <w:gridCol w:w="88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购买方式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购买服务起始时间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购买服务截至时间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拟实施政府购买服务内容（三级目录）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单位资金收入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400" w:lineRule="exact"/>
        <w:jc w:val="both"/>
      </w:pPr>
      <w:r>
        <w:rPr>
          <w:rFonts w:hint="eastAsia"/>
        </w:rPr>
        <w:t>注：宿松县妇联没有使用一般公共预算拨款、政府性基金预算拨款、国有资本经营预算拨款、财政专户管理资金和单位资金安排的政府购买服务支出，故本表无数据。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bCs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第三部分 2021年部门预算情况说明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一、关于2021年收支总表的说明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按照综合预算的原则，宿松县妇联所有收入和支出均纳入部门预算管理。宿松县妇联2021年收支总预算107.09万元，收入全部是一般公共预算拨款收入，支出全部是一般公共服务支出。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二、关于2021年收入总表的说明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妇联</w:t>
      </w:r>
      <w:r>
        <w:rPr>
          <w:rFonts w:hint="eastAsia" w:ascii="仿宋_GB2312" w:hAnsi="仿宋" w:eastAsia="仿宋_GB2312"/>
          <w:sz w:val="32"/>
          <w:szCs w:val="32"/>
        </w:rPr>
        <w:t>2021年收入预算107.09万元，其中，本年收入107.09万元，上年结转结余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（一）本年收入107.09万元，主要包括：一般公共预算拨款收入107.09万元，占100%，比2020年预算增加19.94万元，增长22.88%，增长原因主要是宿松县婚姻调解委员会委工作经费自2021年纳入妇联预算。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楷体_GB2312"/>
          <w:sz w:val="32"/>
          <w:szCs w:val="32"/>
        </w:rPr>
      </w:pPr>
      <w:r>
        <w:rPr>
          <w:rFonts w:hint="eastAsia" w:ascii="仿宋_GB2312" w:hAnsi="仿宋" w:eastAsia="楷体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上年结转结余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仿宋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三、关于2021年支出总表的说明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Times New Roman"/>
          <w:sz w:val="32"/>
          <w:szCs w:val="32"/>
        </w:rPr>
        <w:t>妇联2021年支出预算107.09万元，比2020年预算增加19.94万元，增长22.88%，增长原因主要是</w:t>
      </w:r>
      <w:r>
        <w:rPr>
          <w:rFonts w:hint="eastAsia" w:ascii="仿宋_GB2312" w:hAnsi="仿宋" w:eastAsia="仿宋_GB2312"/>
          <w:sz w:val="32"/>
          <w:szCs w:val="32"/>
        </w:rPr>
        <w:t>宿松县婚姻调解委员会委工作经费自2021年纳入妇联预算</w:t>
      </w:r>
      <w:r>
        <w:rPr>
          <w:rFonts w:hint="eastAsia" w:ascii="仿宋_GB2312" w:hAnsi="仿宋" w:eastAsia="仿宋_GB2312" w:cs="Times New Roman"/>
          <w:sz w:val="32"/>
          <w:szCs w:val="32"/>
        </w:rPr>
        <w:t>。其中，基本支出107.09万元，占100%，主要用于保障机构日常运转、完成日常工作任务、保障宿松县婚姻调解委员会委日常运转等。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仿宋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四、关于2021年财政拨款收支总表的说明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妇联2021年财政拨款收支预算107.09万元，</w:t>
      </w:r>
      <w:r>
        <w:rPr>
          <w:rFonts w:hint="eastAsia" w:ascii="仿宋_GB2312" w:hAnsi="仿宋" w:eastAsia="仿宋_GB2312"/>
          <w:sz w:val="32"/>
          <w:szCs w:val="32"/>
        </w:rPr>
        <w:t>收入按资金来源全部为一般公共预算拨款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收入；按资金年度分为：本年财政拨款收入</w:t>
      </w:r>
      <w:r>
        <w:rPr>
          <w:rFonts w:ascii="仿宋_GB2312" w:hAnsi="仿宋" w:eastAsia="仿宋_GB2312" w:cs="Times New Roman"/>
          <w:kern w:val="2"/>
          <w:sz w:val="32"/>
          <w:szCs w:val="32"/>
        </w:rPr>
        <w:t>107.09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万元，上年结转</w:t>
      </w:r>
      <w:r>
        <w:rPr>
          <w:rFonts w:ascii="仿宋_GB2312" w:hAnsi="仿宋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万元。支出按功能分类分为：一般公共服务支出107.09万元，占100%。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五、关于2021年一般公共预算支出表的说明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30" w:firstLineChars="196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（一）一般公共预算支出规模变化情况。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妇联2021年一般公共预算支出107.09万元，比2020年预算增加19.94万元，增长22.88%，主要原因是增加了宿松县婚姻调解委员会委工作经费</w:t>
      </w:r>
      <w:r>
        <w:rPr>
          <w:rFonts w:hint="eastAsia" w:ascii="仿宋_GB2312" w:hAnsi="仿宋" w:eastAsia="仿宋_GB2312"/>
          <w:sz w:val="32"/>
          <w:szCs w:val="32"/>
        </w:rPr>
        <w:t>自2021年纳入妇联预算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30" w:firstLineChars="196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（二</w:t>
      </w:r>
      <w:r>
        <w:rPr>
          <w:rFonts w:ascii="楷体_GB2312" w:hAnsi="仿宋" w:eastAsia="楷体_GB2312" w:cs="Times New Roman"/>
          <w:b/>
          <w:kern w:val="2"/>
          <w:sz w:val="32"/>
          <w:szCs w:val="32"/>
        </w:rPr>
        <w:t>）</w:t>
      </w: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一般公共预算支出结构情况。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一般公共服务支出107.09万元，占100%。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（三）一般公共预算支出具体使用情况。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.一般公共服务支出（类）档案事务（款）行政运行（项）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ascii="仿宋_GB2312" w:hAnsi="仿宋" w:eastAsia="仿宋_GB2312"/>
          <w:sz w:val="32"/>
          <w:szCs w:val="32"/>
        </w:rPr>
        <w:t>2.94</w:t>
      </w:r>
      <w:r>
        <w:rPr>
          <w:rFonts w:hint="eastAsia" w:ascii="仿宋_GB2312" w:hAnsi="仿宋" w:eastAsia="仿宋_GB2312"/>
          <w:sz w:val="32"/>
          <w:szCs w:val="32"/>
        </w:rPr>
        <w:t>万元，比2020年预算增加2</w:t>
      </w:r>
      <w:r>
        <w:rPr>
          <w:rFonts w:ascii="仿宋_GB2312" w:hAnsi="仿宋" w:eastAsia="仿宋_GB2312"/>
          <w:sz w:val="32"/>
          <w:szCs w:val="32"/>
        </w:rPr>
        <w:t>.94</w:t>
      </w:r>
      <w:r>
        <w:rPr>
          <w:rFonts w:hint="eastAsia" w:ascii="仿宋_GB2312" w:hAnsi="仿宋" w:eastAsia="仿宋_GB2312"/>
          <w:sz w:val="32"/>
          <w:szCs w:val="32"/>
        </w:rPr>
        <w:t>万元，增长原因主要是2</w:t>
      </w:r>
      <w:r>
        <w:rPr>
          <w:rFonts w:ascii="仿宋_GB2312" w:hAnsi="仿宋" w:eastAsia="仿宋_GB2312"/>
          <w:sz w:val="32"/>
          <w:szCs w:val="32"/>
        </w:rPr>
        <w:t>021</w:t>
      </w:r>
      <w:r>
        <w:rPr>
          <w:rFonts w:hint="eastAsia" w:ascii="仿宋_GB2312" w:hAnsi="仿宋" w:eastAsia="仿宋_GB2312"/>
          <w:sz w:val="32"/>
          <w:szCs w:val="32"/>
        </w:rPr>
        <w:t>年新增档案整理工作经费。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.一般公共服务支出（类）群众团体事务（款）行政运行（项）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ascii="仿宋_GB2312" w:hAnsi="仿宋" w:eastAsia="仿宋_GB2312"/>
          <w:sz w:val="32"/>
          <w:szCs w:val="32"/>
        </w:rPr>
        <w:t>104.15</w:t>
      </w:r>
      <w:r>
        <w:rPr>
          <w:rFonts w:hint="eastAsia" w:ascii="仿宋_GB2312" w:hAnsi="仿宋" w:eastAsia="仿宋_GB2312"/>
          <w:sz w:val="32"/>
          <w:szCs w:val="32"/>
        </w:rPr>
        <w:t>万元，比2020年预算增加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ascii="仿宋_GB2312" w:hAnsi="仿宋" w:eastAsia="仿宋_GB2312"/>
          <w:sz w:val="32"/>
          <w:szCs w:val="32"/>
        </w:rPr>
        <w:t>19.51</w:t>
      </w:r>
      <w:r>
        <w:rPr>
          <w:rFonts w:hint="eastAsia" w:ascii="仿宋_GB2312" w:hAnsi="仿宋" w:eastAsia="仿宋_GB2312"/>
          <w:sz w:val="32"/>
          <w:szCs w:val="32"/>
        </w:rPr>
        <w:t>%，增长原因主要是增加了宿松县婚姻调解委员会委工作经费支出。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eastAsia="黑体"/>
          <w:color w:val="000000" w:themeColor="text1"/>
        </w:rPr>
      </w:pPr>
      <w:r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</w:rPr>
        <w:t>六、关于2021年一般公共预算基本支出表的说明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宿松县妇联2021年一般公共预算基本支出107.09万元，其中，人员经费37.11万元，公用经费69.98万元。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（一）人员经费37.11万元，主要包括:基本工资、津贴补贴、奖金、伙食补助费、机关事业单位基本养老保险费、职工基本医疗保险缴费、其他社会保障缴费、住房公积金。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（二）公用经费69.98万元，主要包括：办公费、印刷费、咨询费、电费、邮电费、差旅费、公务接待费、工会经费、其他商品服务支出等。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七、关于2021年政府性基金预算支出表的说明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宿松县妇联2021年没有政府性基金预算拨款收入，也没有使用政府性基金预算拨款安排的支出。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八、关于2021年国有资本经营预算支出表的说明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宿松县妇联2021年没有国有资本经营预算拨款收入，也没有使用国有资本经营预算拨款安排的支出。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九、关于2021年项目支出表的说明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宿松县妇联2021年没有使用一般公共预算拨款、政府性基金预算拨款、国有资本经营预算拨款、财政专户管理资金和单位资金安排的项目支出。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十、关于2021年政府采购支出表的说明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宿松县妇联2021年没有使用一般公共预算拨款、政府性基金预算拨款、国有资本经营预算拨款、财政专户管理资金和单位资金安排的政府采购支出。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十一、关于2021年政府购买服务支出表的说明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宿松县妇联2021年没有使用一般公共预算拨款、政府性基金预算拨款、国有资本经营预算拨款、财政专户管理资金和单位资金安排的政府购买服务支出。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其他重要事项情况说明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（一）绩效目标设置情况。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宿松县妇联</w:t>
      </w:r>
      <w:r>
        <w:rPr>
          <w:rFonts w:hint="eastAsia" w:ascii="仿宋_GB2312" w:hAnsi="楷体" w:eastAsia="仿宋_GB2312"/>
          <w:sz w:val="32"/>
          <w:szCs w:val="32"/>
        </w:rPr>
        <w:t xml:space="preserve"> 2021年部门预算按规定设置整体支出绩效目标，实行部门评价。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</w:t>
      </w:r>
      <w:r>
        <w:rPr>
          <w:rFonts w:hint="eastAsia" w:ascii="仿宋_GB2312" w:hAnsi="楷体" w:eastAsia="仿宋_GB2312"/>
          <w:b/>
          <w:sz w:val="32"/>
          <w:szCs w:val="32"/>
        </w:rPr>
        <w:t>部门整体支出绩效目标设置情况。</w:t>
      </w:r>
    </w:p>
    <w:p>
      <w:pPr>
        <w:spacing w:line="600" w:lineRule="exact"/>
        <w:ind w:firstLine="642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1）部门概述及工作职责。团结、动员妇女投身改革，参与经济建设，促进社会发展；教育、引导广大妇女，增强自尊、自信、自立、自强精神，全面提高素质，促进妇女人才成长；代表妇女参加社会协商对话，参与民主管理、民主监督，参与有关妇女儿童法律、法规、条例的制订，维护妇女儿童合法权益；为妇女儿童服务。加强与社会各界的联系，推动社会各界为妇女儿童办实事、办好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（2）年度预算安排。</w:t>
      </w:r>
      <w:r>
        <w:rPr>
          <w:rFonts w:hint="eastAsia" w:ascii="仿宋_GB2312" w:hAnsi="仿宋" w:eastAsia="仿宋_GB2312"/>
          <w:sz w:val="32"/>
          <w:szCs w:val="32"/>
        </w:rPr>
        <w:t>2021年预算共计107.09万元。其中工资福利支出安排37.11万元，商品和服务支出安排69.98万元。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（3）绩效目标和指标。</w:t>
      </w:r>
      <w:r>
        <w:rPr>
          <w:rFonts w:hint="eastAsia" w:ascii="仿宋_GB2312" w:hAnsi="楷体" w:eastAsia="仿宋_GB2312" w:cs="Times New Roman"/>
          <w:sz w:val="32"/>
          <w:szCs w:val="32"/>
        </w:rPr>
        <w:t>保障在职人员</w:t>
      </w:r>
      <w:r>
        <w:rPr>
          <w:rFonts w:hint="eastAsia" w:ascii="仿宋_GB2312" w:hAnsi="楷体" w:eastAsia="仿宋_GB2312"/>
          <w:sz w:val="32"/>
          <w:szCs w:val="32"/>
        </w:rPr>
        <w:t>5</w:t>
      </w:r>
      <w:r>
        <w:rPr>
          <w:rFonts w:hint="eastAsia" w:ascii="仿宋_GB2312" w:hAnsi="楷体" w:eastAsia="仿宋_GB2312" w:cs="Times New Roman"/>
          <w:sz w:val="32"/>
          <w:szCs w:val="32"/>
        </w:rPr>
        <w:t>人、退休人员6人的正常办公、生活秩序，确保各项业务工作顺利开展，保障机关工作正常高效运转；做好全县妇女工作，包括思想引领、维护合法权益、</w:t>
      </w:r>
      <w:r>
        <w:rPr>
          <w:rFonts w:hint="eastAsia" w:ascii="仿宋_GB2312" w:hAnsi="楷体" w:eastAsia="仿宋_GB2312"/>
          <w:sz w:val="32"/>
          <w:szCs w:val="32"/>
        </w:rPr>
        <w:t>创业创新</w:t>
      </w:r>
      <w:r>
        <w:rPr>
          <w:rFonts w:hint="eastAsia" w:ascii="仿宋_GB2312" w:hAnsi="楷体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sz w:val="32"/>
          <w:szCs w:val="32"/>
        </w:rPr>
      </w:pPr>
    </w:p>
    <w:tbl>
      <w:tblPr>
        <w:tblStyle w:val="6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20"/>
        <w:gridCol w:w="1320"/>
        <w:gridCol w:w="2260"/>
        <w:gridCol w:w="230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F4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宿松县妇联2021年部门整体支出绩效目标表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部门（单位）名称</w:t>
            </w: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宿松县妇联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年度预算（万元）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资金总额：</w:t>
            </w:r>
          </w:p>
        </w:tc>
        <w:tc>
          <w:tcPr>
            <w:tcW w:w="6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按收入性质分：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其中：公共财政拨款：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其中：基本支出：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政府性基金拨款：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项目支出：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纳入专户管理的非税收入拨款：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其他资金：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总体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目标</w:t>
            </w:r>
          </w:p>
        </w:tc>
        <w:tc>
          <w:tcPr>
            <w:tcW w:w="8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目标1：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保障在职人员5人、退休人员6人的正常办公、生活秩序，确保各项业务工作顺利开展，保障机关工作正常高效运转。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目标2：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做好全县妇女工作，包括思想引领、维护合法权益、创业扶持等。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目标3：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做好全县妇联干部队伍建设工作，强化教育培训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目标4：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保障宿松县婚姻调解委员会委日常运转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产出指标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保障县妇联在职人员和退休人员的正常办公、生活秩序。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在职人员5人、退休人员6人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保障宿松县婚姻调解委员会日常运转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婚调员2名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基本满足在职人员和退休人员的正常办公、生活要求，机关工作正常高效运转。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保障机关工作正常高效运转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组织实施各项业务工作符合国家相关政策、相关文件要求，有利于促进我县妇女工作的发展。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保障妇女工作顺利开展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在2020年度完成各项资金支出进度要求，保障县妇联各项工作顺利开展。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按照县妇联2020年工作计划，履行好部门职能职责。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总成本控制年度预算申请范围内。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107.09万元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妇女工作经费40.7万，严格执行行政事业单位财务管理制度及相关政策精神。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40.7万元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效益指标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加快财政资金支付速度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提高财政资金使用效益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提升家教家风，营造最美家庭氛围。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提高群众环保意识，强化绿色发展观念。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体现政策导向，长期保障工作平稳进行。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通过各项工作的开展，力争使相关部门和人员对妇联工作开展的满意度达到较好水平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≥98%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（二）机关运行经费。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妇联</w:t>
      </w:r>
      <w:r>
        <w:rPr>
          <w:rFonts w:hint="eastAsia" w:ascii="仿宋_GB2312" w:hAnsi="仿宋" w:eastAsia="仿宋_GB2312"/>
          <w:sz w:val="32"/>
          <w:szCs w:val="32"/>
        </w:rPr>
        <w:t>2021年机关运行经费财政拨款预算67万元，比2020年预算增加17.03万元，增长34.1%，增长主要原因是自2021年宿松县婚姻调解委员会委工作纳入妇联，相应增加了机关运行经费。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（三）政府采购情况。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宿松县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妇联</w:t>
      </w:r>
      <w:r>
        <w:rPr>
          <w:rFonts w:hint="eastAsia" w:ascii="仿宋_GB2312" w:hAnsi="楷体" w:eastAsia="仿宋_GB2312"/>
          <w:sz w:val="32"/>
          <w:szCs w:val="32"/>
        </w:rPr>
        <w:t>2021年政府采购预算0万元。其中：政府采购货物预算0万元，政府采购工程预算0万元，政府采购服务预算0万元。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（四）国有资产占有使用情况。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color w:val="3366FF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截至2020年12月31日，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宿松县妇联</w:t>
      </w:r>
      <w:r>
        <w:rPr>
          <w:rFonts w:hint="eastAsia" w:ascii="仿宋_GB2312" w:hAnsi="楷体" w:eastAsia="仿宋_GB2312"/>
          <w:sz w:val="32"/>
          <w:szCs w:val="32"/>
        </w:rPr>
        <w:t>共有车辆0辆。单位价值50万元以上的通用设备0台（套），单位价值100万元以上的专用设备0台（套）。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2021年县妇联预算安排购置公务用车0辆，购置费0万元0；安排购置单位价值50万元以上的通用设备0台（套），购置费0万元；安排购置单位价值100万元以上专用设备0台（套），购置费0万元。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（五）绩效目标设置情况。</w:t>
      </w:r>
    </w:p>
    <w:p>
      <w:pPr>
        <w:adjustRightInd w:val="0"/>
        <w:snapToGrid w:val="0"/>
        <w:spacing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2021年，宿松县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妇联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个项目（部门整体支出绩效）实行了绩效目标管理，涉及一般公共预算当年财政拨款</w:t>
      </w:r>
      <w:r>
        <w:rPr>
          <w:rFonts w:ascii="仿宋_GB2312" w:hAnsi="仿宋" w:eastAsia="仿宋_GB2312"/>
          <w:sz w:val="32"/>
          <w:szCs w:val="32"/>
        </w:rPr>
        <w:t>107.09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tabs>
          <w:tab w:val="left" w:pos="3316"/>
        </w:tabs>
        <w:adjustRightInd w:val="0"/>
        <w:snapToGrid w:val="0"/>
        <w:spacing w:line="600" w:lineRule="exact"/>
        <w:outlineLvl w:val="0"/>
        <w:rPr>
          <w:rFonts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hint="eastAsia" w:ascii="黑体" w:eastAsia="黑体" w:cs="宋体"/>
          <w:sz w:val="36"/>
          <w:szCs w:val="36"/>
        </w:rPr>
        <w:t>第四部分 名词解释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一、财政拨款收入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指部门或单位从同级财政部门取得的财政预算资金。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二、上年结转：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指以前年度安排、结转到本年仍按原用途继续使用的资金。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三、结转下年：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指以前年度预算安排、因客观条件发生变化无法按原计划实施，需以后年度按原用途继续使用的资金。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四、基本支出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指为保障机构正常运转、完成日常工作任务而发生的人员支出和公用支出。</w:t>
      </w:r>
    </w:p>
    <w:p>
      <w:pPr>
        <w:pStyle w:val="5"/>
        <w:spacing w:before="0" w:beforeAutospacing="0" w:after="0" w:afterAutospacing="0" w:line="600" w:lineRule="exact"/>
        <w:ind w:firstLine="627" w:firstLineChars="196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指在除基本支出之外的支出，主要用于完成特定的工作任务和事业发展目标。</w:t>
      </w:r>
      <w:r>
        <w:rPr>
          <w:rFonts w:ascii="仿宋_GB2312" w:hAnsi="黑体" w:eastAsia="仿宋_GB2312"/>
          <w:sz w:val="32"/>
          <w:szCs w:val="32"/>
        </w:rPr>
        <w:br w:type="textWrapping"/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六、机关运行经费:</w:t>
      </w:r>
      <w:r>
        <w:rPr>
          <w:rFonts w:hint="eastAsia" w:ascii="仿宋_GB2312" w:hAnsi="黑体" w:eastAsia="仿宋_GB2312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left="359" w:leftChars="171"/>
        <w:jc w:val="both"/>
      </w:pPr>
    </w:p>
    <w:p/>
    <w:p/>
    <w:p>
      <w:pPr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 w:cs="宋体"/>
          <w:kern w:val="0"/>
          <w:sz w:val="32"/>
          <w:szCs w:val="32"/>
        </w:rPr>
        <w:t>联系方式：宿松县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妇联</w:t>
      </w:r>
    </w:p>
    <w:p>
      <w:pPr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 w:cs="宋体"/>
          <w:kern w:val="0"/>
          <w:sz w:val="32"/>
          <w:szCs w:val="32"/>
        </w:rPr>
        <w:t>政务公开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联系电话</w:t>
      </w:r>
      <w:r>
        <w:rPr>
          <w:rFonts w:ascii="仿宋_GB2312" w:hAnsi="黑体" w:eastAsia="仿宋_GB2312" w:cs="宋体"/>
          <w:kern w:val="0"/>
          <w:sz w:val="32"/>
          <w:szCs w:val="32"/>
        </w:rPr>
        <w:t>：0556-7821937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71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764"/>
    <w:multiLevelType w:val="singleLevel"/>
    <w:tmpl w:val="49020764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zP/gtsYtpEyKuuhqTduHT6pJ8pE=" w:salt="U49em++ht8JnVbGDi8faR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5AF"/>
    <w:rsid w:val="00007432"/>
    <w:rsid w:val="00096AC9"/>
    <w:rsid w:val="000B3802"/>
    <w:rsid w:val="000B667C"/>
    <w:rsid w:val="000D4168"/>
    <w:rsid w:val="00115018"/>
    <w:rsid w:val="0020196D"/>
    <w:rsid w:val="002462FE"/>
    <w:rsid w:val="0026301C"/>
    <w:rsid w:val="00281ECA"/>
    <w:rsid w:val="0028580C"/>
    <w:rsid w:val="0034663E"/>
    <w:rsid w:val="003519D4"/>
    <w:rsid w:val="003D3F7C"/>
    <w:rsid w:val="003E5277"/>
    <w:rsid w:val="004503A0"/>
    <w:rsid w:val="00474B1E"/>
    <w:rsid w:val="00477432"/>
    <w:rsid w:val="004E55AF"/>
    <w:rsid w:val="005236AE"/>
    <w:rsid w:val="00530B88"/>
    <w:rsid w:val="0054646E"/>
    <w:rsid w:val="005862AC"/>
    <w:rsid w:val="005900FE"/>
    <w:rsid w:val="005D3260"/>
    <w:rsid w:val="0064354B"/>
    <w:rsid w:val="00651F5A"/>
    <w:rsid w:val="006A6588"/>
    <w:rsid w:val="006D009D"/>
    <w:rsid w:val="007072C0"/>
    <w:rsid w:val="00711538"/>
    <w:rsid w:val="007242D4"/>
    <w:rsid w:val="007D471D"/>
    <w:rsid w:val="00831016"/>
    <w:rsid w:val="00923E8A"/>
    <w:rsid w:val="00954F2E"/>
    <w:rsid w:val="00962D96"/>
    <w:rsid w:val="009C2275"/>
    <w:rsid w:val="009F691A"/>
    <w:rsid w:val="00A64386"/>
    <w:rsid w:val="00A95C78"/>
    <w:rsid w:val="00A9650F"/>
    <w:rsid w:val="00AD0844"/>
    <w:rsid w:val="00AF2FB9"/>
    <w:rsid w:val="00B06B1B"/>
    <w:rsid w:val="00B47B0A"/>
    <w:rsid w:val="00B70B19"/>
    <w:rsid w:val="00B9033A"/>
    <w:rsid w:val="00BB7D6F"/>
    <w:rsid w:val="00BD5F93"/>
    <w:rsid w:val="00BE5FF3"/>
    <w:rsid w:val="00C042DE"/>
    <w:rsid w:val="00C97F00"/>
    <w:rsid w:val="00D33E1D"/>
    <w:rsid w:val="00D47E60"/>
    <w:rsid w:val="00DB4E26"/>
    <w:rsid w:val="00E360BD"/>
    <w:rsid w:val="00E46F49"/>
    <w:rsid w:val="00E761FF"/>
    <w:rsid w:val="00F115F7"/>
    <w:rsid w:val="00F15D11"/>
    <w:rsid w:val="00F24485"/>
    <w:rsid w:val="00F64568"/>
    <w:rsid w:val="00FD3776"/>
    <w:rsid w:val="00FD4A16"/>
    <w:rsid w:val="00FD4C83"/>
    <w:rsid w:val="014F603B"/>
    <w:rsid w:val="0ABE1E0D"/>
    <w:rsid w:val="139D5875"/>
    <w:rsid w:val="1A7564C5"/>
    <w:rsid w:val="2EA1331E"/>
    <w:rsid w:val="3758087E"/>
    <w:rsid w:val="48DA439B"/>
    <w:rsid w:val="4A017342"/>
    <w:rsid w:val="4EF307F8"/>
    <w:rsid w:val="682177CD"/>
    <w:rsid w:val="6FE74699"/>
    <w:rsid w:val="7DAB66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 w:locked="1"/>
    <w:lsdException w:qFormat="1" w:uiPriority="99" w:semiHidden="0" w:name="footer" w:locked="1"/>
    <w:lsdException w:uiPriority="0" w:name="index heading" w:locked="1"/>
    <w:lsdException w:qFormat="1" w:uiPriority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locked/>
    <w:uiPriority w:val="0"/>
    <w:rPr>
      <w:sz w:val="18"/>
      <w:szCs w:val="18"/>
    </w:rPr>
  </w:style>
  <w:style w:type="paragraph" w:styleId="3">
    <w:name w:val="footer"/>
    <w:basedOn w:val="1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lock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1735</Words>
  <Characters>9893</Characters>
  <Lines>82</Lines>
  <Paragraphs>23</Paragraphs>
  <TotalTime>512</TotalTime>
  <ScaleCrop>false</ScaleCrop>
  <LinksUpToDate>false</LinksUpToDate>
  <CharactersWithSpaces>11605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2021-03-15T03:20:00Z</dcterms:created>
  <dc:creator>Administrator</dc:creator>
  <cp:lastModifiedBy>风起几寻</cp:lastModifiedBy>
  <dcterms:modified xsi:type="dcterms:W3CDTF">2021-05-27T02:30:38Z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2DBBFDE4C282401C98356B35DA6DBA77</vt:lpwstr>
  </property>
</Properties>
</file>